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9E" w:rsidRPr="00820E9E" w:rsidRDefault="00820E9E" w:rsidP="00820E9E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20E9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Решения годового общего собрания акционеров ОАО «Гродненский мясокомбинат»</w:t>
      </w:r>
    </w:p>
    <w:p w:rsidR="00820E9E" w:rsidRDefault="00820E9E" w:rsidP="00820E9E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aa-ET" w:eastAsia="en-US" w:bidi="ar-SA"/>
        </w:rPr>
      </w:pP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ОАО «Гродненский мясокомбинат» доводит до сведения акционеров, что 28.03.202</w:t>
      </w:r>
      <w:r w:rsidR="002E34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годовое общее собрании акционеров проходило по адресу: г. Гродно, ул. Мясницкая, 25. В собрании приняли участие акционеры, обладающее в 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val="aa-ET" w:eastAsia="en-US" w:bidi="ar-SA"/>
        </w:rPr>
        <w:t xml:space="preserve">совокупности </w:t>
      </w:r>
      <w:bookmarkStart w:id="0" w:name="_Hlk115781820"/>
      <w:r w:rsidR="002E34B4" w:rsidRPr="00B25F47">
        <w:rPr>
          <w:rFonts w:ascii="Times New Roman" w:hAnsi="Times New Roman" w:cs="Times New Roman"/>
          <w:sz w:val="27"/>
          <w:szCs w:val="27"/>
        </w:rPr>
        <w:t>88</w:t>
      </w:r>
      <w:r w:rsidR="002E34B4">
        <w:rPr>
          <w:rFonts w:ascii="Times New Roman" w:hAnsi="Times New Roman" w:cs="Times New Roman"/>
          <w:sz w:val="27"/>
          <w:szCs w:val="27"/>
        </w:rPr>
        <w:t> </w:t>
      </w:r>
      <w:r w:rsidR="002E34B4" w:rsidRPr="00B25F47">
        <w:rPr>
          <w:rFonts w:ascii="Times New Roman" w:hAnsi="Times New Roman" w:cs="Times New Roman"/>
          <w:sz w:val="27"/>
          <w:szCs w:val="27"/>
        </w:rPr>
        <w:t>771</w:t>
      </w:r>
      <w:r w:rsidR="002E34B4">
        <w:rPr>
          <w:rFonts w:ascii="Times New Roman" w:hAnsi="Times New Roman" w:cs="Times New Roman"/>
          <w:sz w:val="27"/>
          <w:szCs w:val="27"/>
        </w:rPr>
        <w:t xml:space="preserve"> </w:t>
      </w:r>
      <w:r w:rsidR="002E34B4" w:rsidRPr="00B25F47">
        <w:rPr>
          <w:rFonts w:ascii="Times New Roman" w:hAnsi="Times New Roman" w:cs="Times New Roman"/>
          <w:sz w:val="27"/>
          <w:szCs w:val="27"/>
        </w:rPr>
        <w:t xml:space="preserve">257 </w:t>
      </w:r>
      <w:bookmarkEnd w:id="0"/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val="aa-ET" w:eastAsia="en-US" w:bidi="ar-SA"/>
        </w:rPr>
        <w:t>простыми акциями (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90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val="aa-ET" w:eastAsia="en-US" w:bidi="ar-SA"/>
        </w:rPr>
        <w:t>,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="002E34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985</w:t>
      </w:r>
      <w:r w:rsidRPr="00820E9E">
        <w:rPr>
          <w:rFonts w:ascii="Times New Roman" w:eastAsiaTheme="minorHAnsi" w:hAnsi="Times New Roman" w:cs="Times New Roman"/>
          <w:color w:val="auto"/>
          <w:sz w:val="28"/>
          <w:szCs w:val="28"/>
          <w:lang w:val="aa-ET" w:eastAsia="en-US" w:bidi="ar-SA"/>
        </w:rPr>
        <w:t>% от общего количества акций, имеющих право голоса).</w:t>
      </w:r>
    </w:p>
    <w:p w:rsidR="002E34B4" w:rsidRPr="002E34B4" w:rsidRDefault="002E34B4" w:rsidP="002E34B4">
      <w:pPr>
        <w:widowControl/>
        <w:ind w:firstLine="720"/>
        <w:jc w:val="both"/>
        <w:rPr>
          <w:rFonts w:ascii="Times New Roman" w:eastAsia="Arial Unicode MS" w:hAnsi="Times New Roman" w:cs="Times New Roman"/>
          <w:sz w:val="27"/>
          <w:szCs w:val="27"/>
          <w:lang w:bidi="ar-SA"/>
        </w:rPr>
      </w:pPr>
      <w:r w:rsidRPr="002E34B4">
        <w:rPr>
          <w:rFonts w:ascii="Times New Roman" w:eastAsia="Arial Unicode MS" w:hAnsi="Times New Roman" w:cs="Times New Roman"/>
          <w:sz w:val="27"/>
          <w:szCs w:val="27"/>
          <w:lang w:bidi="ar-SA"/>
        </w:rPr>
        <w:t>В Собрании принимают участие акционеры Общества, обладающие более чем 50 % голосов, Собрание в соответствии с Уставом Общества признается правомочным (имеющим кворум).</w:t>
      </w:r>
    </w:p>
    <w:p w:rsidR="002E34B4" w:rsidRPr="002E34B4" w:rsidRDefault="002E34B4" w:rsidP="00820E9E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81471" w:rsidRPr="003F3F45" w:rsidRDefault="00820E9E" w:rsidP="00A73FE4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" w:name="_GoBack"/>
      <w:bookmarkEnd w:id="1"/>
      <w:r w:rsidRPr="00820E9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Годовое общее собрание акционеров приняло следующие решения:</w:t>
      </w:r>
    </w:p>
    <w:p w:rsidR="00820E9E" w:rsidRPr="003F3F45" w:rsidRDefault="00AF6ED8" w:rsidP="00820E9E">
      <w:pPr>
        <w:pStyle w:val="1"/>
        <w:numPr>
          <w:ilvl w:val="0"/>
          <w:numId w:val="3"/>
        </w:numPr>
        <w:tabs>
          <w:tab w:val="left" w:pos="1150"/>
        </w:tabs>
        <w:ind w:firstLine="580"/>
        <w:jc w:val="both"/>
      </w:pPr>
      <w:bookmarkStart w:id="2" w:name="bookmark59"/>
      <w:bookmarkEnd w:id="2"/>
      <w:r w:rsidRPr="003F3F45">
        <w:t>Принять к сведению отчет генерального директора об итогах финансово-хозяйственной деятельности Общества за 202</w:t>
      </w:r>
      <w:r w:rsidR="002E34B4">
        <w:t>4</w:t>
      </w:r>
      <w:r w:rsidRPr="003F3F45">
        <w:t xml:space="preserve"> год</w:t>
      </w:r>
      <w:bookmarkStart w:id="3" w:name="bookmark60"/>
      <w:bookmarkEnd w:id="3"/>
      <w:r w:rsidR="00820E9E" w:rsidRPr="003F3F45">
        <w:t xml:space="preserve">. </w:t>
      </w:r>
      <w:r w:rsidRPr="003F3F45">
        <w:t>Утвердить основные направления деятельности Общества на 202</w:t>
      </w:r>
      <w:r w:rsidR="002E34B4">
        <w:t>5</w:t>
      </w:r>
      <w:r w:rsidRPr="003F3F45">
        <w:t xml:space="preserve"> год.</w:t>
      </w:r>
    </w:p>
    <w:p w:rsidR="00820E9E" w:rsidRPr="003F3F45" w:rsidRDefault="00AF6ED8" w:rsidP="00820E9E">
      <w:pPr>
        <w:pStyle w:val="1"/>
        <w:numPr>
          <w:ilvl w:val="0"/>
          <w:numId w:val="3"/>
        </w:numPr>
        <w:tabs>
          <w:tab w:val="left" w:pos="1150"/>
        </w:tabs>
        <w:ind w:firstLine="580"/>
        <w:jc w:val="both"/>
      </w:pPr>
      <w:bookmarkStart w:id="4" w:name="bookmark61"/>
      <w:bookmarkEnd w:id="4"/>
      <w:r w:rsidRPr="003F3F45">
        <w:t>Принять к сведе</w:t>
      </w:r>
      <w:r w:rsidR="00820E9E" w:rsidRPr="003F3F45">
        <w:t>нию</w:t>
      </w:r>
      <w:r w:rsidRPr="003F3F45">
        <w:t xml:space="preserve"> </w:t>
      </w:r>
      <w:r w:rsidR="00820E9E" w:rsidRPr="003F3F45">
        <w:t>информацию работе наблюдательного совета</w:t>
      </w:r>
      <w:r w:rsidR="00820E9E" w:rsidRPr="003F3F45">
        <w:rPr>
          <w:noProof/>
        </w:rPr>
        <w:t xml:space="preserve"> </w:t>
      </w:r>
      <w:bookmarkStart w:id="5" w:name="bookmark62"/>
      <w:bookmarkEnd w:id="5"/>
      <w:r w:rsidRPr="003F3F45">
        <w:t>Работу наблюдательного совета в 202</w:t>
      </w:r>
      <w:r w:rsidR="007E7413">
        <w:t>4</w:t>
      </w:r>
      <w:r w:rsidRPr="003F3F45">
        <w:t xml:space="preserve"> году признать удовлетворительной.</w:t>
      </w:r>
      <w:bookmarkStart w:id="6" w:name="bookmark63"/>
      <w:bookmarkEnd w:id="6"/>
    </w:p>
    <w:p w:rsidR="0087219A" w:rsidRPr="003F3F45" w:rsidRDefault="00AF6ED8" w:rsidP="0087219A">
      <w:pPr>
        <w:pStyle w:val="1"/>
        <w:numPr>
          <w:ilvl w:val="0"/>
          <w:numId w:val="3"/>
        </w:numPr>
        <w:tabs>
          <w:tab w:val="left" w:pos="1150"/>
        </w:tabs>
        <w:ind w:firstLine="580"/>
        <w:jc w:val="both"/>
      </w:pPr>
      <w:r w:rsidRPr="003F3F45">
        <w:t>Принять к сведению заключение аудиторской компании по результатам аудиторской проверки финансово-хозяйственной деятельности Общества за 202</w:t>
      </w:r>
      <w:r w:rsidR="002E34B4">
        <w:t>4</w:t>
      </w:r>
      <w:r w:rsidRPr="003F3F45">
        <w:t xml:space="preserve"> год</w:t>
      </w:r>
      <w:r w:rsidR="00820E9E" w:rsidRPr="003F3F45">
        <w:t>.</w:t>
      </w:r>
      <w:bookmarkStart w:id="7" w:name="bookmark64"/>
      <w:bookmarkEnd w:id="7"/>
      <w:r w:rsidR="00820E9E" w:rsidRPr="003F3F45">
        <w:t xml:space="preserve"> </w:t>
      </w:r>
      <w:r w:rsidRPr="003F3F45">
        <w:t>Принять к сведению заключение ревизионной комиссии по результатам проверки деятельности Общества за 202</w:t>
      </w:r>
      <w:r w:rsidR="002E34B4">
        <w:t>4</w:t>
      </w:r>
      <w:r w:rsidRPr="003F3F45">
        <w:t xml:space="preserve"> год</w:t>
      </w:r>
      <w:bookmarkStart w:id="8" w:name="bookmark65"/>
      <w:bookmarkEnd w:id="8"/>
      <w:r w:rsidR="00820E9E" w:rsidRPr="003F3F45">
        <w:t xml:space="preserve">. </w:t>
      </w:r>
      <w:r w:rsidRPr="003F3F45">
        <w:t>Работу ревизионной комиссии признать удовлетворительной.</w:t>
      </w:r>
      <w:bookmarkStart w:id="9" w:name="bookmark66"/>
      <w:bookmarkEnd w:id="9"/>
    </w:p>
    <w:p w:rsidR="0087219A" w:rsidRPr="003F3F45" w:rsidRDefault="00AF6ED8" w:rsidP="0087219A">
      <w:pPr>
        <w:pStyle w:val="1"/>
        <w:numPr>
          <w:ilvl w:val="0"/>
          <w:numId w:val="3"/>
        </w:numPr>
        <w:tabs>
          <w:tab w:val="left" w:pos="1150"/>
        </w:tabs>
        <w:ind w:firstLine="580"/>
        <w:jc w:val="both"/>
      </w:pPr>
      <w:r w:rsidRPr="003F3F45">
        <w:t>Утвердить годовой отчет и годовую бухгалтерскую (финансовую) отчетность Общества за 202</w:t>
      </w:r>
      <w:r w:rsidR="002E34B4">
        <w:t>4</w:t>
      </w:r>
      <w:r w:rsidRPr="003F3F45">
        <w:t xml:space="preserve"> год</w:t>
      </w:r>
      <w:r w:rsidR="00820E9E" w:rsidRPr="003F3F45">
        <w:t>.</w:t>
      </w:r>
      <w:bookmarkStart w:id="10" w:name="bookmark67"/>
      <w:bookmarkEnd w:id="10"/>
      <w:r w:rsidR="00820E9E" w:rsidRPr="003F3F45">
        <w:t xml:space="preserve"> </w:t>
      </w:r>
      <w:r w:rsidRPr="003F3F45">
        <w:t>Утвердить порядок распределения чистой прибыли Общества за 202</w:t>
      </w:r>
      <w:r w:rsidR="002E34B4">
        <w:t>4</w:t>
      </w:r>
      <w:r w:rsidRPr="003F3F45">
        <w:t xml:space="preserve"> год в сумме </w:t>
      </w:r>
      <w:r w:rsidR="002E34B4">
        <w:t>39 203 739,15</w:t>
      </w:r>
      <w:r w:rsidRPr="003F3F45">
        <w:t xml:space="preserve"> рублей</w:t>
      </w:r>
      <w:r w:rsidR="00820E9E" w:rsidRPr="003F3F45">
        <w:t xml:space="preserve">. </w:t>
      </w:r>
      <w:r w:rsidRPr="003F3F45">
        <w:t xml:space="preserve">На выплату дивидендов </w:t>
      </w:r>
      <w:r w:rsidR="002E34B4">
        <w:t>–</w:t>
      </w:r>
      <w:r w:rsidRPr="003F3F45">
        <w:t xml:space="preserve"> </w:t>
      </w:r>
      <w:r w:rsidR="002E34B4">
        <w:t>7 818 808,54</w:t>
      </w:r>
      <w:r w:rsidRPr="003F3F45">
        <w:t xml:space="preserve"> рублей.</w:t>
      </w:r>
      <w:r w:rsidR="00820E9E" w:rsidRPr="003F3F45">
        <w:t xml:space="preserve"> Установить размер начисленных дивидендов за 202</w:t>
      </w:r>
      <w:r w:rsidR="002E34B4">
        <w:t>4</w:t>
      </w:r>
      <w:r w:rsidR="00820E9E" w:rsidRPr="003F3F45">
        <w:t xml:space="preserve"> год на одну акцию 0,0</w:t>
      </w:r>
      <w:r w:rsidR="002E34B4">
        <w:t>79445179888</w:t>
      </w:r>
      <w:r w:rsidR="00820E9E" w:rsidRPr="003F3F45">
        <w:t xml:space="preserve"> рублей. </w:t>
      </w:r>
      <w:r w:rsidRPr="003F3F45">
        <w:t>Утвердить сумму прибыли, направленную на создание и приобретение основных средств производственного назначения, их реконструкцию (модернизацию) и нематериальных активов, а также на погашение кредитов (займов), полученных на эти цели (за вычетом амортизации основных средств и нематериальных активов, начисленной с начала отчетного периода</w:t>
      </w:r>
      <w:bookmarkStart w:id="11" w:name="bookmark71"/>
      <w:bookmarkEnd w:id="11"/>
      <w:r w:rsidR="00820E9E" w:rsidRPr="003F3F45">
        <w:t xml:space="preserve">. </w:t>
      </w:r>
      <w:r w:rsidRPr="003F3F45">
        <w:t>Установить срок выплаты дивидендов с 01.04.202</w:t>
      </w:r>
      <w:r w:rsidR="002E34B4">
        <w:t>5</w:t>
      </w:r>
      <w:r w:rsidRPr="003F3F45">
        <w:t xml:space="preserve"> по 30.08.202</w:t>
      </w:r>
      <w:r w:rsidR="002E34B4">
        <w:t>5</w:t>
      </w:r>
      <w:r w:rsidRPr="003F3F45">
        <w:t xml:space="preserve">. </w:t>
      </w:r>
      <w:r w:rsidR="00820E9E" w:rsidRPr="003F3F45">
        <w:t xml:space="preserve">Дивиденды на государственный пакет акций перечислить не позднее </w:t>
      </w:r>
      <w:r w:rsidRPr="003F3F45">
        <w:t>22 апреля</w:t>
      </w:r>
      <w:bookmarkStart w:id="12" w:name="bookmark72"/>
      <w:bookmarkEnd w:id="12"/>
      <w:r w:rsidR="00820E9E" w:rsidRPr="003F3F45">
        <w:t xml:space="preserve"> 202</w:t>
      </w:r>
      <w:r w:rsidR="002E34B4">
        <w:t>5</w:t>
      </w:r>
      <w:r w:rsidR="00820E9E" w:rsidRPr="003F3F45">
        <w:t xml:space="preserve"> года. </w:t>
      </w:r>
      <w:r w:rsidRPr="003F3F45">
        <w:t>Информацию о времени и месте выплаты дивидендов довести до сведения акционеров не позднее 01 апреля 202</w:t>
      </w:r>
      <w:r w:rsidR="002E34B4">
        <w:t>5</w:t>
      </w:r>
      <w:r w:rsidRPr="003F3F45">
        <w:t xml:space="preserve"> года путем размещения информации на сайте предприятия </w:t>
      </w:r>
      <w:hyperlink r:id="rId7" w:history="1">
        <w:r w:rsidRPr="003F3F45">
          <w:t>https://www.grodnomk.by/</w:t>
        </w:r>
      </w:hyperlink>
      <w:r w:rsidRPr="003F3F45">
        <w:t>.</w:t>
      </w:r>
      <w:bookmarkStart w:id="13" w:name="bookmark73"/>
      <w:bookmarkEnd w:id="13"/>
    </w:p>
    <w:p w:rsidR="00781471" w:rsidRPr="003F3F45" w:rsidRDefault="00AF6ED8" w:rsidP="0087219A">
      <w:pPr>
        <w:pStyle w:val="1"/>
        <w:numPr>
          <w:ilvl w:val="0"/>
          <w:numId w:val="3"/>
        </w:numPr>
        <w:tabs>
          <w:tab w:val="left" w:pos="1150"/>
        </w:tabs>
        <w:ind w:firstLine="580"/>
        <w:jc w:val="both"/>
      </w:pPr>
      <w:r w:rsidRPr="003F3F45">
        <w:t>Утвердить следующие направления распределения чистой прибыли Общества на 202</w:t>
      </w:r>
      <w:r w:rsidR="002E34B4">
        <w:t>5</w:t>
      </w:r>
      <w:r w:rsidRPr="003F3F45">
        <w:t xml:space="preserve"> год и 1 квартал 202</w:t>
      </w:r>
      <w:r w:rsidR="002E34B4">
        <w:t>6</w:t>
      </w:r>
      <w:r w:rsidRPr="003F3F45">
        <w:t xml:space="preserve"> года:</w:t>
      </w:r>
    </w:p>
    <w:p w:rsidR="00781471" w:rsidRPr="003F3F45" w:rsidRDefault="00AF6ED8">
      <w:pPr>
        <w:pStyle w:val="22"/>
        <w:jc w:val="both"/>
        <w:rPr>
          <w:sz w:val="28"/>
          <w:szCs w:val="28"/>
        </w:rPr>
      </w:pPr>
      <w:r w:rsidRPr="003F3F45">
        <w:rPr>
          <w:sz w:val="28"/>
          <w:szCs w:val="28"/>
        </w:rPr>
        <w:t>20% на выплату дивидендов;</w:t>
      </w:r>
    </w:p>
    <w:p w:rsidR="00781471" w:rsidRDefault="002E34B4" w:rsidP="002E34B4">
      <w:pPr>
        <w:pStyle w:val="ae"/>
        <w:jc w:val="both"/>
        <w:rPr>
          <w:rFonts w:ascii="Times New Roman" w:hAnsi="Times New Roman"/>
          <w:sz w:val="27"/>
          <w:szCs w:val="27"/>
        </w:rPr>
      </w:pPr>
      <w:r w:rsidRPr="002E34B4">
        <w:rPr>
          <w:rFonts w:ascii="Times New Roman" w:hAnsi="Times New Roman"/>
          <w:sz w:val="28"/>
          <w:szCs w:val="28"/>
        </w:rPr>
        <w:t xml:space="preserve">          </w:t>
      </w:r>
      <w:r w:rsidR="00AF6ED8" w:rsidRPr="002E34B4">
        <w:rPr>
          <w:rFonts w:ascii="Times New Roman" w:hAnsi="Times New Roman"/>
          <w:sz w:val="28"/>
          <w:szCs w:val="28"/>
        </w:rPr>
        <w:t>0,5 %</w:t>
      </w:r>
      <w:r w:rsidR="00AF6ED8" w:rsidRPr="003F3F45">
        <w:rPr>
          <w:sz w:val="28"/>
          <w:szCs w:val="28"/>
        </w:rPr>
        <w:t xml:space="preserve"> </w:t>
      </w:r>
      <w:r w:rsidRPr="00B25F47">
        <w:rPr>
          <w:rFonts w:ascii="Times New Roman" w:hAnsi="Times New Roman"/>
          <w:sz w:val="27"/>
          <w:szCs w:val="27"/>
        </w:rPr>
        <w:t>от чистой прибыли, но не более 120 000 рублей – на формирование резервного фонда заработной платы;</w:t>
      </w:r>
    </w:p>
    <w:p w:rsidR="002E34B4" w:rsidRPr="002E34B4" w:rsidRDefault="00D85B17" w:rsidP="002E34B4">
      <w:pPr>
        <w:pStyle w:val="ae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Pr="00B25F47">
        <w:rPr>
          <w:rFonts w:ascii="Times New Roman" w:hAnsi="Times New Roman"/>
          <w:sz w:val="27"/>
          <w:szCs w:val="27"/>
        </w:rPr>
        <w:t>оставшуюся часть чистой прибыли – на создание и приобретение основных средств, прочие расходы, связанные с деятельностью предприятия.</w:t>
      </w:r>
    </w:p>
    <w:p w:rsidR="0087219A" w:rsidRPr="003F3F45" w:rsidRDefault="00AF6ED8" w:rsidP="0087219A">
      <w:pPr>
        <w:pStyle w:val="22"/>
        <w:jc w:val="both"/>
        <w:rPr>
          <w:sz w:val="28"/>
          <w:szCs w:val="28"/>
        </w:rPr>
      </w:pPr>
      <w:r w:rsidRPr="003F3F45">
        <w:rPr>
          <w:sz w:val="28"/>
          <w:szCs w:val="28"/>
        </w:rPr>
        <w:t>Наделить генерального директора полномочиями принимать решения осуществлять выплаты по прочим расходам текущей деятельности из прибыли текущего года согласно коллективному договору и Уставу общества</w:t>
      </w:r>
      <w:bookmarkStart w:id="14" w:name="bookmark74"/>
      <w:bookmarkEnd w:id="14"/>
      <w:r w:rsidR="0087219A" w:rsidRPr="003F3F45">
        <w:rPr>
          <w:sz w:val="28"/>
          <w:szCs w:val="28"/>
        </w:rPr>
        <w:t xml:space="preserve">. </w:t>
      </w:r>
      <w:r w:rsidRPr="003F3F45">
        <w:rPr>
          <w:sz w:val="28"/>
          <w:szCs w:val="28"/>
        </w:rPr>
        <w:t xml:space="preserve">Установить </w:t>
      </w:r>
      <w:r w:rsidRPr="003F3F45">
        <w:rPr>
          <w:sz w:val="28"/>
          <w:szCs w:val="28"/>
        </w:rPr>
        <w:lastRenderedPageBreak/>
        <w:t>периодичность выплаты дивидендов за 202</w:t>
      </w:r>
      <w:r w:rsidR="00D85B17">
        <w:rPr>
          <w:sz w:val="28"/>
          <w:szCs w:val="28"/>
        </w:rPr>
        <w:t>5</w:t>
      </w:r>
      <w:r w:rsidRPr="003F3F45">
        <w:rPr>
          <w:sz w:val="28"/>
          <w:szCs w:val="28"/>
        </w:rPr>
        <w:t xml:space="preserve"> год - один раз в год по результатам работы Общества за 202</w:t>
      </w:r>
      <w:r w:rsidR="00D85B17">
        <w:rPr>
          <w:sz w:val="28"/>
          <w:szCs w:val="28"/>
        </w:rPr>
        <w:t>5</w:t>
      </w:r>
      <w:r w:rsidRPr="003F3F45">
        <w:rPr>
          <w:sz w:val="28"/>
          <w:szCs w:val="28"/>
        </w:rPr>
        <w:t xml:space="preserve"> год.</w:t>
      </w:r>
    </w:p>
    <w:p w:rsidR="0087219A" w:rsidRPr="003F3F45" w:rsidRDefault="00AF6ED8" w:rsidP="0087219A">
      <w:pPr>
        <w:pStyle w:val="22"/>
        <w:numPr>
          <w:ilvl w:val="0"/>
          <w:numId w:val="3"/>
        </w:numPr>
        <w:jc w:val="both"/>
        <w:rPr>
          <w:sz w:val="28"/>
          <w:szCs w:val="28"/>
        </w:rPr>
      </w:pPr>
      <w:r w:rsidRPr="003F3F45">
        <w:rPr>
          <w:sz w:val="28"/>
          <w:szCs w:val="28"/>
        </w:rPr>
        <w:t>Установить для членов наблюдательного совета и ревизионной комиссии вознаграждение за осуществление возлагаемых обязанностей</w:t>
      </w:r>
      <w:r w:rsidR="0087219A" w:rsidRPr="003F3F45">
        <w:rPr>
          <w:sz w:val="28"/>
          <w:szCs w:val="28"/>
        </w:rPr>
        <w:t xml:space="preserve">. </w:t>
      </w:r>
      <w:r w:rsidRPr="003F3F45">
        <w:rPr>
          <w:sz w:val="28"/>
          <w:szCs w:val="28"/>
        </w:rPr>
        <w:t>При этом представителю государства выплачивается вознаграждение за счет чистой прибыли в размере, не превышающем установленного Указом Президента Республики Беларусь от 19 февраля 2008г. №100 «О некоторых вопросах владельческого надзора»</w:t>
      </w:r>
      <w:r w:rsidR="0087219A" w:rsidRPr="003F3F45">
        <w:rPr>
          <w:sz w:val="28"/>
          <w:szCs w:val="28"/>
        </w:rPr>
        <w:t>.</w:t>
      </w:r>
      <w:bookmarkStart w:id="15" w:name="bookmark75"/>
      <w:bookmarkEnd w:id="15"/>
    </w:p>
    <w:p w:rsidR="003F3F45" w:rsidRPr="003F3F45" w:rsidRDefault="00AF6ED8" w:rsidP="003F3F45">
      <w:pPr>
        <w:pStyle w:val="22"/>
        <w:numPr>
          <w:ilvl w:val="0"/>
          <w:numId w:val="3"/>
        </w:numPr>
        <w:jc w:val="both"/>
        <w:rPr>
          <w:sz w:val="28"/>
          <w:szCs w:val="28"/>
        </w:rPr>
      </w:pPr>
      <w:r w:rsidRPr="003F3F45">
        <w:rPr>
          <w:sz w:val="28"/>
          <w:szCs w:val="28"/>
        </w:rPr>
        <w:t>Утвердить количественный состав наблюдательного совета</w:t>
      </w:r>
      <w:r w:rsidR="0087219A" w:rsidRPr="003F3F45">
        <w:rPr>
          <w:sz w:val="28"/>
          <w:szCs w:val="28"/>
        </w:rPr>
        <w:t>.</w:t>
      </w:r>
      <w:bookmarkStart w:id="16" w:name="bookmark76"/>
      <w:bookmarkEnd w:id="16"/>
      <w:r w:rsidR="003F3F45" w:rsidRPr="003F3F45">
        <w:rPr>
          <w:sz w:val="28"/>
          <w:szCs w:val="28"/>
        </w:rPr>
        <w:t xml:space="preserve"> </w:t>
      </w:r>
      <w:r w:rsidRPr="003F3F45">
        <w:rPr>
          <w:sz w:val="28"/>
          <w:szCs w:val="28"/>
        </w:rPr>
        <w:t>Избрать состав ревизионной комиссии</w:t>
      </w:r>
      <w:r w:rsidR="003F3F45" w:rsidRPr="003F3F45">
        <w:rPr>
          <w:sz w:val="28"/>
          <w:szCs w:val="28"/>
        </w:rPr>
        <w:t>.</w:t>
      </w:r>
    </w:p>
    <w:p w:rsidR="00781471" w:rsidRPr="003F3F45" w:rsidRDefault="00781471">
      <w:pPr>
        <w:spacing w:line="360" w:lineRule="exact"/>
        <w:rPr>
          <w:sz w:val="28"/>
          <w:szCs w:val="28"/>
        </w:rPr>
      </w:pPr>
    </w:p>
    <w:p w:rsidR="003F3F45" w:rsidRPr="003F3F45" w:rsidRDefault="003F3F45" w:rsidP="003F3F45">
      <w:pPr>
        <w:keepNext/>
        <w:widowControl/>
        <w:spacing w:after="160" w:line="259" w:lineRule="auto"/>
        <w:ind w:left="36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F3F4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Более подробно ознакомится с принятыми на годовом общем собрании решениями можно акционерам ОАО «Гродненский мясокомбинат» по адресу: г. Гродно, ул. </w:t>
      </w:r>
      <w:r w:rsidR="00D85B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Гаспадарчая, д.39</w:t>
      </w:r>
      <w:r w:rsidRPr="003F3F4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тел.: 45-</w:t>
      </w:r>
      <w:r w:rsidR="00D85B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49</w:t>
      </w:r>
      <w:r w:rsidRPr="003F3F4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</w:t>
      </w:r>
      <w:r w:rsidR="00D85B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78</w:t>
      </w:r>
      <w:r w:rsidRPr="003F3F4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781471" w:rsidRPr="003F3F45" w:rsidRDefault="00781471">
      <w:pPr>
        <w:spacing w:after="532" w:line="1" w:lineRule="exact"/>
        <w:rPr>
          <w:sz w:val="28"/>
          <w:szCs w:val="28"/>
        </w:rPr>
      </w:pPr>
    </w:p>
    <w:p w:rsidR="00781471" w:rsidRDefault="00781471">
      <w:pPr>
        <w:spacing w:line="1" w:lineRule="exact"/>
        <w:rPr>
          <w:sz w:val="28"/>
          <w:szCs w:val="28"/>
        </w:rPr>
      </w:pPr>
    </w:p>
    <w:p w:rsidR="003F3F45" w:rsidRPr="003F3F45" w:rsidRDefault="003F3F45">
      <w:pPr>
        <w:spacing w:line="1" w:lineRule="exact"/>
        <w:rPr>
          <w:sz w:val="28"/>
          <w:szCs w:val="28"/>
        </w:rPr>
      </w:pPr>
    </w:p>
    <w:sectPr w:rsidR="003F3F45" w:rsidRPr="003F3F45">
      <w:headerReference w:type="default" r:id="rId8"/>
      <w:footerReference w:type="default" r:id="rId9"/>
      <w:type w:val="continuous"/>
      <w:pgSz w:w="11900" w:h="16840"/>
      <w:pgMar w:top="694" w:right="466" w:bottom="256" w:left="1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0C" w:rsidRDefault="007C190C">
      <w:r>
        <w:separator/>
      </w:r>
    </w:p>
  </w:endnote>
  <w:endnote w:type="continuationSeparator" w:id="0">
    <w:p w:rsidR="007C190C" w:rsidRDefault="007C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71" w:rsidRDefault="0078147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0C" w:rsidRDefault="007C190C"/>
  </w:footnote>
  <w:footnote w:type="continuationSeparator" w:id="0">
    <w:p w:rsidR="007C190C" w:rsidRDefault="007C19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71" w:rsidRDefault="00AF6E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4008120</wp:posOffset>
              </wp:positionH>
              <wp:positionV relativeFrom="page">
                <wp:posOffset>264795</wp:posOffset>
              </wp:positionV>
              <wp:extent cx="148590" cy="118745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471" w:rsidRDefault="00AF6ED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3FE4" w:rsidRPr="00A73FE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7" o:spid="_x0000_s1026" type="#_x0000_t202" style="position:absolute;margin-left:315.6pt;margin-top:20.85pt;width:11.7pt;height:9.3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" filled="f" stroked="f">
              <v:textbox style="mso-fit-shape-to-text:t" inset="0,0,0,0">
                <w:txbxContent>
                  <w:p w:rsidR="00781471" w:rsidRDefault="00AF6ED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3FE4" w:rsidRPr="00A73FE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B0C"/>
    <w:multiLevelType w:val="multilevel"/>
    <w:tmpl w:val="11788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A3DB4"/>
    <w:multiLevelType w:val="multilevel"/>
    <w:tmpl w:val="AB9E822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D4F25"/>
    <w:multiLevelType w:val="multilevel"/>
    <w:tmpl w:val="03C60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07C63"/>
    <w:multiLevelType w:val="multilevel"/>
    <w:tmpl w:val="57246B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4C174E"/>
    <w:multiLevelType w:val="multilevel"/>
    <w:tmpl w:val="97DC5E98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2233D8"/>
    <w:multiLevelType w:val="multilevel"/>
    <w:tmpl w:val="3FAE5B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45438"/>
    <w:multiLevelType w:val="multilevel"/>
    <w:tmpl w:val="7F0A4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9F0FE6"/>
    <w:multiLevelType w:val="multilevel"/>
    <w:tmpl w:val="33A008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740D3E"/>
    <w:multiLevelType w:val="multilevel"/>
    <w:tmpl w:val="7DB86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CE7C42"/>
    <w:multiLevelType w:val="multilevel"/>
    <w:tmpl w:val="895E71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71"/>
    <w:rsid w:val="001A649C"/>
    <w:rsid w:val="002E34B4"/>
    <w:rsid w:val="003F3F45"/>
    <w:rsid w:val="00781471"/>
    <w:rsid w:val="007C190C"/>
    <w:rsid w:val="007E7413"/>
    <w:rsid w:val="00820E9E"/>
    <w:rsid w:val="0087219A"/>
    <w:rsid w:val="00A73FE4"/>
    <w:rsid w:val="00AF6ED8"/>
    <w:rsid w:val="00D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84DCE-FDCF-4BBC-AE35-E33012DC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2">
    <w:name w:val="Основной текст (2)"/>
    <w:basedOn w:val="a"/>
    <w:link w:val="21"/>
    <w:pPr>
      <w:ind w:firstLine="7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Подпись к таблице"/>
    <w:basedOn w:val="a"/>
    <w:link w:val="a6"/>
    <w:pPr>
      <w:spacing w:line="233" w:lineRule="auto"/>
      <w:ind w:firstLine="37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721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219A"/>
    <w:rPr>
      <w:color w:val="000000"/>
    </w:rPr>
  </w:style>
  <w:style w:type="paragraph" w:styleId="ac">
    <w:name w:val="footer"/>
    <w:basedOn w:val="a"/>
    <w:link w:val="ad"/>
    <w:uiPriority w:val="99"/>
    <w:unhideWhenUsed/>
    <w:rsid w:val="008721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219A"/>
    <w:rPr>
      <w:color w:val="000000"/>
    </w:rPr>
  </w:style>
  <w:style w:type="paragraph" w:styleId="ae">
    <w:name w:val="No Spacing"/>
    <w:uiPriority w:val="1"/>
    <w:qFormat/>
    <w:rsid w:val="002E34B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rodnomk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2024-04-05T04:51:00Z</dcterms:created>
  <dcterms:modified xsi:type="dcterms:W3CDTF">2025-04-03T11:38:00Z</dcterms:modified>
</cp:coreProperties>
</file>